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0684" w14:textId="77777777" w:rsidR="00DC74D8" w:rsidRDefault="00DC74D8" w:rsidP="00DC74D8">
      <w:pPr>
        <w:pBdr>
          <w:bottom w:val="single" w:sz="12" w:space="1" w:color="auto"/>
        </w:pBdr>
        <w:jc w:val="center"/>
        <w:rPr>
          <w:rFonts w:cstheme="minorHAnsi"/>
          <w:b/>
          <w:bCs/>
          <w:sz w:val="28"/>
          <w:szCs w:val="28"/>
        </w:rPr>
      </w:pPr>
    </w:p>
    <w:p w14:paraId="19DEC13C" w14:textId="77777777" w:rsidR="00DC74D8" w:rsidRDefault="00DC74D8" w:rsidP="00DC74D8">
      <w:pPr>
        <w:pBdr>
          <w:bottom w:val="single" w:sz="12" w:space="1" w:color="auto"/>
        </w:pBdr>
        <w:jc w:val="center"/>
        <w:rPr>
          <w:rFonts w:cstheme="minorHAnsi"/>
          <w:b/>
          <w:bCs/>
          <w:sz w:val="28"/>
          <w:szCs w:val="28"/>
        </w:rPr>
      </w:pPr>
    </w:p>
    <w:p w14:paraId="6D5C2834" w14:textId="77777777" w:rsidR="00DC74D8" w:rsidRDefault="00DC74D8" w:rsidP="00DC74D8">
      <w:pPr>
        <w:pBdr>
          <w:bottom w:val="single" w:sz="12" w:space="1" w:color="auto"/>
        </w:pBdr>
        <w:jc w:val="center"/>
        <w:rPr>
          <w:rFonts w:cstheme="minorHAnsi"/>
          <w:b/>
          <w:bCs/>
          <w:sz w:val="28"/>
          <w:szCs w:val="28"/>
        </w:rPr>
      </w:pPr>
    </w:p>
    <w:p w14:paraId="44256E2D" w14:textId="77777777" w:rsidR="00DC74D8" w:rsidRDefault="00DC74D8" w:rsidP="00DC74D8">
      <w:pPr>
        <w:pBdr>
          <w:bottom w:val="single" w:sz="12" w:space="1" w:color="auto"/>
        </w:pBdr>
        <w:jc w:val="center"/>
        <w:rPr>
          <w:rFonts w:cstheme="minorHAnsi"/>
          <w:b/>
          <w:bCs/>
          <w:sz w:val="28"/>
          <w:szCs w:val="28"/>
        </w:rPr>
      </w:pPr>
    </w:p>
    <w:p w14:paraId="20CCF7BA" w14:textId="667D7F88" w:rsidR="00FB42F8" w:rsidRPr="00FB42F8" w:rsidRDefault="00FB42F8" w:rsidP="00FB42F8">
      <w:pPr>
        <w:pBdr>
          <w:bottom w:val="single" w:sz="12" w:space="1" w:color="auto"/>
        </w:pBdr>
        <w:spacing w:after="240"/>
        <w:ind w:firstLine="720"/>
        <w:jc w:val="center"/>
        <w:rPr>
          <w:rFonts w:ascii="Tahoma" w:hAnsi="Tahoma" w:cs="Tahoma"/>
          <w:sz w:val="20"/>
          <w:szCs w:val="20"/>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ascii="Tahoma" w:hAnsi="Tahoma" w:cs="Tahoma"/>
          <w:sz w:val="20"/>
          <w:szCs w:val="20"/>
        </w:rPr>
        <w:t>F-LE-82 Rev July 9, 2025</w:t>
      </w:r>
    </w:p>
    <w:p w14:paraId="7AEE23E7" w14:textId="168C5607" w:rsidR="00FB42F8" w:rsidRDefault="00FB42F8" w:rsidP="001A5B27">
      <w:pPr>
        <w:pBdr>
          <w:bottom w:val="single" w:sz="12" w:space="1" w:color="auto"/>
        </w:pBdr>
        <w:spacing w:after="240"/>
        <w:jc w:val="center"/>
        <w:rPr>
          <w:rFonts w:cstheme="minorHAnsi"/>
          <w:b/>
          <w:bCs/>
          <w:sz w:val="28"/>
          <w:szCs w:val="28"/>
        </w:rPr>
      </w:pPr>
      <w:r>
        <w:rPr>
          <w:rFonts w:cstheme="minorHAnsi"/>
          <w:b/>
          <w:bCs/>
          <w:sz w:val="28"/>
          <w:szCs w:val="28"/>
        </w:rPr>
        <w:t xml:space="preserve">Precious Metals </w:t>
      </w:r>
      <w:r w:rsidRPr="00CF501F">
        <w:rPr>
          <w:rFonts w:cstheme="minorHAnsi"/>
          <w:b/>
          <w:bCs/>
          <w:sz w:val="28"/>
          <w:szCs w:val="28"/>
        </w:rPr>
        <w:t>Product Statement</w:t>
      </w:r>
      <w:r>
        <w:rPr>
          <w:rFonts w:cstheme="minorHAnsi"/>
          <w:b/>
          <w:bCs/>
          <w:sz w:val="28"/>
          <w:szCs w:val="28"/>
        </w:rPr>
        <w:t xml:space="preserve">                              </w:t>
      </w:r>
    </w:p>
    <w:p w14:paraId="02380165" w14:textId="71958578" w:rsidR="003C11BD" w:rsidRDefault="003C11BD" w:rsidP="003C11BD">
      <w:pPr>
        <w:rPr>
          <w:rFonts w:cstheme="minorHAnsi"/>
        </w:rPr>
      </w:pPr>
    </w:p>
    <w:p w14:paraId="5F76CFD9" w14:textId="102E36FF" w:rsidR="003C11BD" w:rsidRDefault="00B86955" w:rsidP="003C11BD">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6324F03" wp14:editId="38C4FF94">
                <wp:simplePos x="0" y="0"/>
                <wp:positionH relativeFrom="column">
                  <wp:posOffset>-182880</wp:posOffset>
                </wp:positionH>
                <wp:positionV relativeFrom="paragraph">
                  <wp:posOffset>119380</wp:posOffset>
                </wp:positionV>
                <wp:extent cx="6339840" cy="914400"/>
                <wp:effectExtent l="0" t="0" r="22860" b="19050"/>
                <wp:wrapNone/>
                <wp:docPr id="495779714" name="Text Box 2"/>
                <wp:cNvGraphicFramePr/>
                <a:graphic xmlns:a="http://schemas.openxmlformats.org/drawingml/2006/main">
                  <a:graphicData uri="http://schemas.microsoft.com/office/word/2010/wordprocessingShape">
                    <wps:wsp>
                      <wps:cNvSpPr txBox="1"/>
                      <wps:spPr>
                        <a:xfrm>
                          <a:off x="0" y="0"/>
                          <a:ext cx="6339840" cy="914400"/>
                        </a:xfrm>
                        <a:prstGeom prst="rect">
                          <a:avLst/>
                        </a:prstGeom>
                        <a:solidFill>
                          <a:schemeClr val="lt1"/>
                        </a:solidFill>
                        <a:ln w="6350">
                          <a:solidFill>
                            <a:prstClr val="black"/>
                          </a:solidFill>
                        </a:ln>
                      </wps:spPr>
                      <wps:txbx>
                        <w:txbxContent>
                          <w:p w14:paraId="77ABE20D" w14:textId="77777777" w:rsidR="00795876" w:rsidRPr="00B86955" w:rsidRDefault="00795876" w:rsidP="00795876">
                            <w:pPr>
                              <w:spacing w:before="70"/>
                              <w:ind w:left="144" w:right="201"/>
                              <w:rPr>
                                <w:rFonts w:ascii="Calibri" w:hAnsi="Calibri" w:cs="Calibri"/>
                                <w:spacing w:val="61"/>
                              </w:rPr>
                            </w:pPr>
                            <w:r w:rsidRPr="00B86955">
                              <w:rPr>
                                <w:rFonts w:ascii="Calibri" w:hAnsi="Calibri" w:cs="Calibri"/>
                                <w:spacing w:val="-1"/>
                              </w:rPr>
                              <w:t>Products Include: Gold,</w:t>
                            </w:r>
                            <w:r w:rsidRPr="00B86955">
                              <w:rPr>
                                <w:rFonts w:ascii="Calibri" w:hAnsi="Calibri" w:cs="Calibri"/>
                                <w:spacing w:val="-7"/>
                              </w:rPr>
                              <w:t xml:space="preserve"> </w:t>
                            </w:r>
                            <w:r w:rsidRPr="00B86955">
                              <w:rPr>
                                <w:rFonts w:ascii="Calibri" w:hAnsi="Calibri" w:cs="Calibri"/>
                                <w:spacing w:val="-1"/>
                              </w:rPr>
                              <w:t>Silver,</w:t>
                            </w:r>
                            <w:r w:rsidRPr="00B86955">
                              <w:rPr>
                                <w:rFonts w:ascii="Calibri" w:hAnsi="Calibri" w:cs="Calibri"/>
                                <w:spacing w:val="-8"/>
                              </w:rPr>
                              <w:t xml:space="preserve"> </w:t>
                            </w:r>
                            <w:r w:rsidRPr="00B86955">
                              <w:rPr>
                                <w:rFonts w:ascii="Calibri" w:hAnsi="Calibri" w:cs="Calibri"/>
                                <w:spacing w:val="-1"/>
                              </w:rPr>
                              <w:t>Platinum,</w:t>
                            </w:r>
                            <w:r w:rsidRPr="00B86955">
                              <w:rPr>
                                <w:rFonts w:ascii="Calibri" w:hAnsi="Calibri" w:cs="Calibri"/>
                                <w:spacing w:val="-9"/>
                              </w:rPr>
                              <w:t xml:space="preserve"> </w:t>
                            </w:r>
                            <w:r w:rsidRPr="00B86955">
                              <w:rPr>
                                <w:rFonts w:ascii="Calibri" w:hAnsi="Calibri" w:cs="Calibri"/>
                                <w:spacing w:val="-1"/>
                              </w:rPr>
                              <w:t>Platinum-5</w:t>
                            </w:r>
                            <w:r w:rsidRPr="00B86955">
                              <w:rPr>
                                <w:rFonts w:ascii="Calibri" w:hAnsi="Calibri" w:cs="Calibri"/>
                                <w:spacing w:val="-7"/>
                              </w:rPr>
                              <w:t xml:space="preserve"> </w:t>
                            </w:r>
                            <w:r w:rsidRPr="00B86955">
                              <w:rPr>
                                <w:rFonts w:ascii="Calibri" w:hAnsi="Calibri" w:cs="Calibri"/>
                                <w:spacing w:val="-1"/>
                              </w:rPr>
                              <w:t>Iridium,</w:t>
                            </w:r>
                            <w:r w:rsidRPr="00B86955">
                              <w:rPr>
                                <w:rFonts w:ascii="Calibri" w:hAnsi="Calibri" w:cs="Calibri"/>
                                <w:spacing w:val="-9"/>
                              </w:rPr>
                              <w:t xml:space="preserve"> </w:t>
                            </w:r>
                            <w:r w:rsidRPr="00B86955">
                              <w:rPr>
                                <w:rFonts w:ascii="Calibri" w:hAnsi="Calibri" w:cs="Calibri"/>
                                <w:spacing w:val="-1"/>
                              </w:rPr>
                              <w:t>Platinum-</w:t>
                            </w:r>
                            <w:r w:rsidRPr="00B86955">
                              <w:rPr>
                                <w:rFonts w:ascii="Calibri" w:hAnsi="Calibri" w:cs="Calibri"/>
                              </w:rPr>
                              <w:t>10</w:t>
                            </w:r>
                            <w:r w:rsidRPr="00B86955">
                              <w:rPr>
                                <w:rFonts w:ascii="Calibri" w:hAnsi="Calibri" w:cs="Calibri"/>
                                <w:spacing w:val="-7"/>
                              </w:rPr>
                              <w:t xml:space="preserve"> </w:t>
                            </w:r>
                            <w:r w:rsidRPr="00B86955">
                              <w:rPr>
                                <w:rFonts w:ascii="Calibri" w:hAnsi="Calibri" w:cs="Calibri"/>
                                <w:spacing w:val="-1"/>
                              </w:rPr>
                              <w:t>Iridium,</w:t>
                            </w:r>
                            <w:r w:rsidRPr="00B86955">
                              <w:rPr>
                                <w:rFonts w:ascii="Calibri" w:hAnsi="Calibri" w:cs="Calibri"/>
                                <w:spacing w:val="-6"/>
                              </w:rPr>
                              <w:t xml:space="preserve"> </w:t>
                            </w:r>
                            <w:r w:rsidRPr="00B86955">
                              <w:rPr>
                                <w:rFonts w:ascii="Calibri" w:hAnsi="Calibri" w:cs="Calibri"/>
                                <w:spacing w:val="-1"/>
                              </w:rPr>
                              <w:t>Platinum-20</w:t>
                            </w:r>
                            <w:r w:rsidRPr="00B86955">
                              <w:rPr>
                                <w:rFonts w:ascii="Calibri" w:hAnsi="Calibri" w:cs="Calibri"/>
                                <w:spacing w:val="-7"/>
                              </w:rPr>
                              <w:t xml:space="preserve"> </w:t>
                            </w:r>
                            <w:r w:rsidRPr="00B86955">
                              <w:rPr>
                                <w:rFonts w:ascii="Calibri" w:hAnsi="Calibri" w:cs="Calibri"/>
                                <w:spacing w:val="-1"/>
                              </w:rPr>
                              <w:t>Iridium, and</w:t>
                            </w:r>
                            <w:r w:rsidRPr="00B86955">
                              <w:rPr>
                                <w:rFonts w:ascii="Calibri" w:hAnsi="Calibri" w:cs="Calibri"/>
                                <w:spacing w:val="-6"/>
                              </w:rPr>
                              <w:t xml:space="preserve"> </w:t>
                            </w:r>
                            <w:r w:rsidRPr="00B86955">
                              <w:rPr>
                                <w:rFonts w:ascii="Calibri" w:hAnsi="Calibri" w:cs="Calibri"/>
                                <w:spacing w:val="-1"/>
                              </w:rPr>
                              <w:t>Platinum-10</w:t>
                            </w:r>
                            <w:r w:rsidRPr="00B86955">
                              <w:rPr>
                                <w:rFonts w:ascii="Calibri" w:hAnsi="Calibri" w:cs="Calibri"/>
                                <w:spacing w:val="-5"/>
                              </w:rPr>
                              <w:t xml:space="preserve"> </w:t>
                            </w:r>
                            <w:r w:rsidRPr="00B86955">
                              <w:rPr>
                                <w:rFonts w:ascii="Calibri" w:hAnsi="Calibri" w:cs="Calibri"/>
                              </w:rPr>
                              <w:t>Nickel.</w:t>
                            </w:r>
                            <w:r w:rsidRPr="00B86955">
                              <w:rPr>
                                <w:rFonts w:ascii="Calibri" w:hAnsi="Calibri" w:cs="Calibri"/>
                                <w:spacing w:val="61"/>
                              </w:rPr>
                              <w:t xml:space="preserve"> </w:t>
                            </w:r>
                          </w:p>
                          <w:p w14:paraId="180C04B0" w14:textId="77777777" w:rsidR="00795876" w:rsidRPr="00B86955" w:rsidRDefault="00795876" w:rsidP="00795876">
                            <w:pPr>
                              <w:spacing w:before="70"/>
                              <w:ind w:left="144" w:right="201"/>
                              <w:rPr>
                                <w:rFonts w:ascii="Calibri" w:hAnsi="Calibri" w:cs="Calibri"/>
                                <w:b/>
                                <w:bCs/>
                                <w:spacing w:val="-1"/>
                              </w:rPr>
                            </w:pPr>
                            <w:r w:rsidRPr="00B86955">
                              <w:rPr>
                                <w:rFonts w:ascii="Calibri" w:hAnsi="Calibri" w:cs="Calibri"/>
                                <w:b/>
                                <w:bCs/>
                                <w:spacing w:val="-1"/>
                              </w:rPr>
                              <w:t>This</w:t>
                            </w:r>
                            <w:r w:rsidRPr="00B86955">
                              <w:rPr>
                                <w:rFonts w:ascii="Calibri" w:hAnsi="Calibri" w:cs="Calibri"/>
                                <w:b/>
                                <w:bCs/>
                                <w:spacing w:val="-6"/>
                              </w:rPr>
                              <w:t xml:space="preserve"> </w:t>
                            </w:r>
                            <w:r w:rsidRPr="00B86955">
                              <w:rPr>
                                <w:rFonts w:ascii="Calibri" w:hAnsi="Calibri" w:cs="Calibri"/>
                                <w:b/>
                                <w:bCs/>
                                <w:spacing w:val="-1"/>
                              </w:rPr>
                              <w:t>statement</w:t>
                            </w:r>
                            <w:r w:rsidRPr="00B86955">
                              <w:rPr>
                                <w:rFonts w:ascii="Calibri" w:hAnsi="Calibri" w:cs="Calibri"/>
                                <w:b/>
                                <w:bCs/>
                                <w:spacing w:val="-6"/>
                              </w:rPr>
                              <w:t xml:space="preserve"> </w:t>
                            </w:r>
                            <w:r w:rsidRPr="00B86955">
                              <w:rPr>
                                <w:rFonts w:ascii="Calibri" w:hAnsi="Calibri" w:cs="Calibri"/>
                                <w:b/>
                                <w:bCs/>
                                <w:spacing w:val="-1"/>
                              </w:rPr>
                              <w:t>excludes</w:t>
                            </w:r>
                            <w:r w:rsidRPr="00B86955">
                              <w:rPr>
                                <w:rFonts w:ascii="Calibri" w:hAnsi="Calibri" w:cs="Calibri"/>
                                <w:b/>
                                <w:bCs/>
                                <w:spacing w:val="47"/>
                              </w:rPr>
                              <w:t xml:space="preserve"> </w:t>
                            </w:r>
                            <w:r w:rsidRPr="00B86955">
                              <w:rPr>
                                <w:rFonts w:ascii="Calibri" w:hAnsi="Calibri" w:cs="Calibri"/>
                                <w:b/>
                                <w:bCs/>
                                <w:spacing w:val="-1"/>
                              </w:rPr>
                              <w:t>research</w:t>
                            </w:r>
                            <w:r w:rsidRPr="00B86955">
                              <w:rPr>
                                <w:rFonts w:ascii="Calibri" w:hAnsi="Calibri" w:cs="Calibri"/>
                                <w:b/>
                                <w:bCs/>
                                <w:spacing w:val="-5"/>
                              </w:rPr>
                              <w:t xml:space="preserve"> </w:t>
                            </w:r>
                            <w:r w:rsidRPr="00B86955">
                              <w:rPr>
                                <w:rFonts w:ascii="Calibri" w:hAnsi="Calibri" w:cs="Calibri"/>
                                <w:b/>
                                <w:bCs/>
                                <w:spacing w:val="-1"/>
                              </w:rPr>
                              <w:t>and</w:t>
                            </w:r>
                            <w:r w:rsidRPr="00B86955">
                              <w:rPr>
                                <w:rFonts w:ascii="Calibri" w:hAnsi="Calibri" w:cs="Calibri"/>
                                <w:b/>
                                <w:bCs/>
                                <w:spacing w:val="-5"/>
                              </w:rPr>
                              <w:t xml:space="preserve"> </w:t>
                            </w:r>
                            <w:r w:rsidRPr="00B86955">
                              <w:rPr>
                                <w:rFonts w:ascii="Calibri" w:hAnsi="Calibri" w:cs="Calibri"/>
                                <w:b/>
                                <w:bCs/>
                                <w:spacing w:val="-1"/>
                              </w:rPr>
                              <w:t>development</w:t>
                            </w:r>
                            <w:r w:rsidRPr="00B86955">
                              <w:rPr>
                                <w:rFonts w:ascii="Calibri" w:hAnsi="Calibri" w:cs="Calibri"/>
                                <w:b/>
                                <w:bCs/>
                                <w:spacing w:val="-5"/>
                              </w:rPr>
                              <w:t xml:space="preserve"> </w:t>
                            </w:r>
                            <w:r w:rsidRPr="00B86955">
                              <w:rPr>
                                <w:rFonts w:ascii="Calibri" w:hAnsi="Calibri" w:cs="Calibri"/>
                                <w:b/>
                                <w:bCs/>
                                <w:spacing w:val="-1"/>
                              </w:rPr>
                              <w:t>and</w:t>
                            </w:r>
                            <w:r w:rsidRPr="00B86955">
                              <w:rPr>
                                <w:rFonts w:ascii="Calibri" w:hAnsi="Calibri" w:cs="Calibri"/>
                                <w:b/>
                                <w:bCs/>
                                <w:spacing w:val="-5"/>
                              </w:rPr>
                              <w:t xml:space="preserve"> </w:t>
                            </w:r>
                            <w:r w:rsidRPr="00B86955">
                              <w:rPr>
                                <w:rFonts w:ascii="Calibri" w:hAnsi="Calibri" w:cs="Calibri"/>
                                <w:b/>
                                <w:bCs/>
                                <w:spacing w:val="-1"/>
                              </w:rPr>
                              <w:t>prototype</w:t>
                            </w:r>
                            <w:r w:rsidRPr="00B86955">
                              <w:rPr>
                                <w:rFonts w:ascii="Calibri" w:hAnsi="Calibri" w:cs="Calibri"/>
                                <w:b/>
                                <w:bCs/>
                                <w:spacing w:val="-4"/>
                              </w:rPr>
                              <w:t xml:space="preserve"> </w:t>
                            </w:r>
                            <w:r w:rsidRPr="00B86955">
                              <w:rPr>
                                <w:rFonts w:ascii="Calibri" w:hAnsi="Calibri" w:cs="Calibri"/>
                                <w:b/>
                                <w:bCs/>
                                <w:spacing w:val="-1"/>
                              </w:rPr>
                              <w:t>projects</w:t>
                            </w:r>
                            <w:r w:rsidRPr="00B86955">
                              <w:rPr>
                                <w:rFonts w:ascii="Calibri" w:hAnsi="Calibri" w:cs="Calibri"/>
                                <w:b/>
                                <w:bCs/>
                                <w:spacing w:val="-5"/>
                              </w:rPr>
                              <w:t xml:space="preserve"> </w:t>
                            </w:r>
                            <w:r w:rsidRPr="00B86955">
                              <w:rPr>
                                <w:rFonts w:ascii="Calibri" w:hAnsi="Calibri" w:cs="Calibri"/>
                                <w:b/>
                                <w:bCs/>
                                <w:spacing w:val="-1"/>
                              </w:rPr>
                              <w:t>and</w:t>
                            </w:r>
                            <w:r w:rsidRPr="00B86955">
                              <w:rPr>
                                <w:rFonts w:ascii="Calibri" w:hAnsi="Calibri" w:cs="Calibri"/>
                                <w:b/>
                                <w:bCs/>
                                <w:spacing w:val="-5"/>
                              </w:rPr>
                              <w:t xml:space="preserve"> </w:t>
                            </w:r>
                            <w:r w:rsidRPr="00B86955">
                              <w:rPr>
                                <w:rFonts w:ascii="Calibri" w:hAnsi="Calibri" w:cs="Calibri"/>
                                <w:b/>
                                <w:bCs/>
                                <w:spacing w:val="-1"/>
                              </w:rPr>
                              <w:t>material.</w:t>
                            </w:r>
                          </w:p>
                          <w:p w14:paraId="51195A68" w14:textId="77777777" w:rsidR="003C11BD" w:rsidRDefault="003C1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4F03" id="_x0000_t202" coordsize="21600,21600" o:spt="202" path="m,l,21600r21600,l21600,xe">
                <v:stroke joinstyle="miter"/>
                <v:path gradientshapeok="t" o:connecttype="rect"/>
              </v:shapetype>
              <v:shape id="Text Box 2" o:spid="_x0000_s1026" type="#_x0000_t202" style="position:absolute;margin-left:-14.4pt;margin-top:9.4pt;width:499.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" fillcolor="white [3201]" strokeweight=".5pt">
                <v:textbox>
                  <w:txbxContent>
                    <w:p w14:paraId="77ABE20D" w14:textId="77777777" w:rsidR="00795876" w:rsidRPr="00B86955" w:rsidRDefault="00795876" w:rsidP="00795876">
                      <w:pPr>
                        <w:spacing w:before="70"/>
                        <w:ind w:left="144" w:right="201"/>
                        <w:rPr>
                          <w:rFonts w:ascii="Calibri" w:hAnsi="Calibri" w:cs="Calibri"/>
                          <w:spacing w:val="61"/>
                        </w:rPr>
                      </w:pPr>
                      <w:r w:rsidRPr="00B86955">
                        <w:rPr>
                          <w:rFonts w:ascii="Calibri" w:hAnsi="Calibri" w:cs="Calibri"/>
                          <w:spacing w:val="-1"/>
                        </w:rPr>
                        <w:t>Products Include: Gold,</w:t>
                      </w:r>
                      <w:r w:rsidRPr="00B86955">
                        <w:rPr>
                          <w:rFonts w:ascii="Calibri" w:hAnsi="Calibri" w:cs="Calibri"/>
                          <w:spacing w:val="-7"/>
                        </w:rPr>
                        <w:t xml:space="preserve"> </w:t>
                      </w:r>
                      <w:r w:rsidRPr="00B86955">
                        <w:rPr>
                          <w:rFonts w:ascii="Calibri" w:hAnsi="Calibri" w:cs="Calibri"/>
                          <w:spacing w:val="-1"/>
                        </w:rPr>
                        <w:t>Silver,</w:t>
                      </w:r>
                      <w:r w:rsidRPr="00B86955">
                        <w:rPr>
                          <w:rFonts w:ascii="Calibri" w:hAnsi="Calibri" w:cs="Calibri"/>
                          <w:spacing w:val="-8"/>
                        </w:rPr>
                        <w:t xml:space="preserve"> </w:t>
                      </w:r>
                      <w:r w:rsidRPr="00B86955">
                        <w:rPr>
                          <w:rFonts w:ascii="Calibri" w:hAnsi="Calibri" w:cs="Calibri"/>
                          <w:spacing w:val="-1"/>
                        </w:rPr>
                        <w:t>Platinum,</w:t>
                      </w:r>
                      <w:r w:rsidRPr="00B86955">
                        <w:rPr>
                          <w:rFonts w:ascii="Calibri" w:hAnsi="Calibri" w:cs="Calibri"/>
                          <w:spacing w:val="-9"/>
                        </w:rPr>
                        <w:t xml:space="preserve"> </w:t>
                      </w:r>
                      <w:r w:rsidRPr="00B86955">
                        <w:rPr>
                          <w:rFonts w:ascii="Calibri" w:hAnsi="Calibri" w:cs="Calibri"/>
                          <w:spacing w:val="-1"/>
                        </w:rPr>
                        <w:t>Platinum-5</w:t>
                      </w:r>
                      <w:r w:rsidRPr="00B86955">
                        <w:rPr>
                          <w:rFonts w:ascii="Calibri" w:hAnsi="Calibri" w:cs="Calibri"/>
                          <w:spacing w:val="-7"/>
                        </w:rPr>
                        <w:t xml:space="preserve"> </w:t>
                      </w:r>
                      <w:r w:rsidRPr="00B86955">
                        <w:rPr>
                          <w:rFonts w:ascii="Calibri" w:hAnsi="Calibri" w:cs="Calibri"/>
                          <w:spacing w:val="-1"/>
                        </w:rPr>
                        <w:t>Iridium,</w:t>
                      </w:r>
                      <w:r w:rsidRPr="00B86955">
                        <w:rPr>
                          <w:rFonts w:ascii="Calibri" w:hAnsi="Calibri" w:cs="Calibri"/>
                          <w:spacing w:val="-9"/>
                        </w:rPr>
                        <w:t xml:space="preserve"> </w:t>
                      </w:r>
                      <w:r w:rsidRPr="00B86955">
                        <w:rPr>
                          <w:rFonts w:ascii="Calibri" w:hAnsi="Calibri" w:cs="Calibri"/>
                          <w:spacing w:val="-1"/>
                        </w:rPr>
                        <w:t>Platinum-</w:t>
                      </w:r>
                      <w:r w:rsidRPr="00B86955">
                        <w:rPr>
                          <w:rFonts w:ascii="Calibri" w:hAnsi="Calibri" w:cs="Calibri"/>
                        </w:rPr>
                        <w:t>10</w:t>
                      </w:r>
                      <w:r w:rsidRPr="00B86955">
                        <w:rPr>
                          <w:rFonts w:ascii="Calibri" w:hAnsi="Calibri" w:cs="Calibri"/>
                          <w:spacing w:val="-7"/>
                        </w:rPr>
                        <w:t xml:space="preserve"> </w:t>
                      </w:r>
                      <w:r w:rsidRPr="00B86955">
                        <w:rPr>
                          <w:rFonts w:ascii="Calibri" w:hAnsi="Calibri" w:cs="Calibri"/>
                          <w:spacing w:val="-1"/>
                        </w:rPr>
                        <w:t>Iridium,</w:t>
                      </w:r>
                      <w:r w:rsidRPr="00B86955">
                        <w:rPr>
                          <w:rFonts w:ascii="Calibri" w:hAnsi="Calibri" w:cs="Calibri"/>
                          <w:spacing w:val="-6"/>
                        </w:rPr>
                        <w:t xml:space="preserve"> </w:t>
                      </w:r>
                      <w:r w:rsidRPr="00B86955">
                        <w:rPr>
                          <w:rFonts w:ascii="Calibri" w:hAnsi="Calibri" w:cs="Calibri"/>
                          <w:spacing w:val="-1"/>
                        </w:rPr>
                        <w:t>Platinum-20</w:t>
                      </w:r>
                      <w:r w:rsidRPr="00B86955">
                        <w:rPr>
                          <w:rFonts w:ascii="Calibri" w:hAnsi="Calibri" w:cs="Calibri"/>
                          <w:spacing w:val="-7"/>
                        </w:rPr>
                        <w:t xml:space="preserve"> </w:t>
                      </w:r>
                      <w:r w:rsidRPr="00B86955">
                        <w:rPr>
                          <w:rFonts w:ascii="Calibri" w:hAnsi="Calibri" w:cs="Calibri"/>
                          <w:spacing w:val="-1"/>
                        </w:rPr>
                        <w:t>Iridium, and</w:t>
                      </w:r>
                      <w:r w:rsidRPr="00B86955">
                        <w:rPr>
                          <w:rFonts w:ascii="Calibri" w:hAnsi="Calibri" w:cs="Calibri"/>
                          <w:spacing w:val="-6"/>
                        </w:rPr>
                        <w:t xml:space="preserve"> </w:t>
                      </w:r>
                      <w:r w:rsidRPr="00B86955">
                        <w:rPr>
                          <w:rFonts w:ascii="Calibri" w:hAnsi="Calibri" w:cs="Calibri"/>
                          <w:spacing w:val="-1"/>
                        </w:rPr>
                        <w:t>Platinum-10</w:t>
                      </w:r>
                      <w:r w:rsidRPr="00B86955">
                        <w:rPr>
                          <w:rFonts w:ascii="Calibri" w:hAnsi="Calibri" w:cs="Calibri"/>
                          <w:spacing w:val="-5"/>
                        </w:rPr>
                        <w:t xml:space="preserve"> </w:t>
                      </w:r>
                      <w:r w:rsidRPr="00B86955">
                        <w:rPr>
                          <w:rFonts w:ascii="Calibri" w:hAnsi="Calibri" w:cs="Calibri"/>
                        </w:rPr>
                        <w:t>Nickel.</w:t>
                      </w:r>
                      <w:r w:rsidRPr="00B86955">
                        <w:rPr>
                          <w:rFonts w:ascii="Calibri" w:hAnsi="Calibri" w:cs="Calibri"/>
                          <w:spacing w:val="61"/>
                        </w:rPr>
                        <w:t xml:space="preserve"> </w:t>
                      </w:r>
                    </w:p>
                    <w:p w14:paraId="180C04B0" w14:textId="77777777" w:rsidR="00795876" w:rsidRPr="00B86955" w:rsidRDefault="00795876" w:rsidP="00795876">
                      <w:pPr>
                        <w:spacing w:before="70"/>
                        <w:ind w:left="144" w:right="201"/>
                        <w:rPr>
                          <w:rFonts w:ascii="Calibri" w:hAnsi="Calibri" w:cs="Calibri"/>
                          <w:b/>
                          <w:bCs/>
                          <w:spacing w:val="-1"/>
                        </w:rPr>
                      </w:pPr>
                      <w:r w:rsidRPr="00B86955">
                        <w:rPr>
                          <w:rFonts w:ascii="Calibri" w:hAnsi="Calibri" w:cs="Calibri"/>
                          <w:b/>
                          <w:bCs/>
                          <w:spacing w:val="-1"/>
                        </w:rPr>
                        <w:t>This</w:t>
                      </w:r>
                      <w:r w:rsidRPr="00B86955">
                        <w:rPr>
                          <w:rFonts w:ascii="Calibri" w:hAnsi="Calibri" w:cs="Calibri"/>
                          <w:b/>
                          <w:bCs/>
                          <w:spacing w:val="-6"/>
                        </w:rPr>
                        <w:t xml:space="preserve"> </w:t>
                      </w:r>
                      <w:r w:rsidRPr="00B86955">
                        <w:rPr>
                          <w:rFonts w:ascii="Calibri" w:hAnsi="Calibri" w:cs="Calibri"/>
                          <w:b/>
                          <w:bCs/>
                          <w:spacing w:val="-1"/>
                        </w:rPr>
                        <w:t>statement</w:t>
                      </w:r>
                      <w:r w:rsidRPr="00B86955">
                        <w:rPr>
                          <w:rFonts w:ascii="Calibri" w:hAnsi="Calibri" w:cs="Calibri"/>
                          <w:b/>
                          <w:bCs/>
                          <w:spacing w:val="-6"/>
                        </w:rPr>
                        <w:t xml:space="preserve"> </w:t>
                      </w:r>
                      <w:r w:rsidRPr="00B86955">
                        <w:rPr>
                          <w:rFonts w:ascii="Calibri" w:hAnsi="Calibri" w:cs="Calibri"/>
                          <w:b/>
                          <w:bCs/>
                          <w:spacing w:val="-1"/>
                        </w:rPr>
                        <w:t>excludes</w:t>
                      </w:r>
                      <w:r w:rsidRPr="00B86955">
                        <w:rPr>
                          <w:rFonts w:ascii="Calibri" w:hAnsi="Calibri" w:cs="Calibri"/>
                          <w:b/>
                          <w:bCs/>
                          <w:spacing w:val="47"/>
                        </w:rPr>
                        <w:t xml:space="preserve"> </w:t>
                      </w:r>
                      <w:r w:rsidRPr="00B86955">
                        <w:rPr>
                          <w:rFonts w:ascii="Calibri" w:hAnsi="Calibri" w:cs="Calibri"/>
                          <w:b/>
                          <w:bCs/>
                          <w:spacing w:val="-1"/>
                        </w:rPr>
                        <w:t>research</w:t>
                      </w:r>
                      <w:r w:rsidRPr="00B86955">
                        <w:rPr>
                          <w:rFonts w:ascii="Calibri" w:hAnsi="Calibri" w:cs="Calibri"/>
                          <w:b/>
                          <w:bCs/>
                          <w:spacing w:val="-5"/>
                        </w:rPr>
                        <w:t xml:space="preserve"> </w:t>
                      </w:r>
                      <w:r w:rsidRPr="00B86955">
                        <w:rPr>
                          <w:rFonts w:ascii="Calibri" w:hAnsi="Calibri" w:cs="Calibri"/>
                          <w:b/>
                          <w:bCs/>
                          <w:spacing w:val="-1"/>
                        </w:rPr>
                        <w:t>and</w:t>
                      </w:r>
                      <w:r w:rsidRPr="00B86955">
                        <w:rPr>
                          <w:rFonts w:ascii="Calibri" w:hAnsi="Calibri" w:cs="Calibri"/>
                          <w:b/>
                          <w:bCs/>
                          <w:spacing w:val="-5"/>
                        </w:rPr>
                        <w:t xml:space="preserve"> </w:t>
                      </w:r>
                      <w:r w:rsidRPr="00B86955">
                        <w:rPr>
                          <w:rFonts w:ascii="Calibri" w:hAnsi="Calibri" w:cs="Calibri"/>
                          <w:b/>
                          <w:bCs/>
                          <w:spacing w:val="-1"/>
                        </w:rPr>
                        <w:t>development</w:t>
                      </w:r>
                      <w:r w:rsidRPr="00B86955">
                        <w:rPr>
                          <w:rFonts w:ascii="Calibri" w:hAnsi="Calibri" w:cs="Calibri"/>
                          <w:b/>
                          <w:bCs/>
                          <w:spacing w:val="-5"/>
                        </w:rPr>
                        <w:t xml:space="preserve"> </w:t>
                      </w:r>
                      <w:r w:rsidRPr="00B86955">
                        <w:rPr>
                          <w:rFonts w:ascii="Calibri" w:hAnsi="Calibri" w:cs="Calibri"/>
                          <w:b/>
                          <w:bCs/>
                          <w:spacing w:val="-1"/>
                        </w:rPr>
                        <w:t>and</w:t>
                      </w:r>
                      <w:r w:rsidRPr="00B86955">
                        <w:rPr>
                          <w:rFonts w:ascii="Calibri" w:hAnsi="Calibri" w:cs="Calibri"/>
                          <w:b/>
                          <w:bCs/>
                          <w:spacing w:val="-5"/>
                        </w:rPr>
                        <w:t xml:space="preserve"> </w:t>
                      </w:r>
                      <w:r w:rsidRPr="00B86955">
                        <w:rPr>
                          <w:rFonts w:ascii="Calibri" w:hAnsi="Calibri" w:cs="Calibri"/>
                          <w:b/>
                          <w:bCs/>
                          <w:spacing w:val="-1"/>
                        </w:rPr>
                        <w:t>prototype</w:t>
                      </w:r>
                      <w:r w:rsidRPr="00B86955">
                        <w:rPr>
                          <w:rFonts w:ascii="Calibri" w:hAnsi="Calibri" w:cs="Calibri"/>
                          <w:b/>
                          <w:bCs/>
                          <w:spacing w:val="-4"/>
                        </w:rPr>
                        <w:t xml:space="preserve"> </w:t>
                      </w:r>
                      <w:r w:rsidRPr="00B86955">
                        <w:rPr>
                          <w:rFonts w:ascii="Calibri" w:hAnsi="Calibri" w:cs="Calibri"/>
                          <w:b/>
                          <w:bCs/>
                          <w:spacing w:val="-1"/>
                        </w:rPr>
                        <w:t>projects</w:t>
                      </w:r>
                      <w:r w:rsidRPr="00B86955">
                        <w:rPr>
                          <w:rFonts w:ascii="Calibri" w:hAnsi="Calibri" w:cs="Calibri"/>
                          <w:b/>
                          <w:bCs/>
                          <w:spacing w:val="-5"/>
                        </w:rPr>
                        <w:t xml:space="preserve"> </w:t>
                      </w:r>
                      <w:r w:rsidRPr="00B86955">
                        <w:rPr>
                          <w:rFonts w:ascii="Calibri" w:hAnsi="Calibri" w:cs="Calibri"/>
                          <w:b/>
                          <w:bCs/>
                          <w:spacing w:val="-1"/>
                        </w:rPr>
                        <w:t>and</w:t>
                      </w:r>
                      <w:r w:rsidRPr="00B86955">
                        <w:rPr>
                          <w:rFonts w:ascii="Calibri" w:hAnsi="Calibri" w:cs="Calibri"/>
                          <w:b/>
                          <w:bCs/>
                          <w:spacing w:val="-5"/>
                        </w:rPr>
                        <w:t xml:space="preserve"> </w:t>
                      </w:r>
                      <w:r w:rsidRPr="00B86955">
                        <w:rPr>
                          <w:rFonts w:ascii="Calibri" w:hAnsi="Calibri" w:cs="Calibri"/>
                          <w:b/>
                          <w:bCs/>
                          <w:spacing w:val="-1"/>
                        </w:rPr>
                        <w:t>material.</w:t>
                      </w:r>
                    </w:p>
                    <w:p w14:paraId="51195A68" w14:textId="77777777" w:rsidR="003C11BD" w:rsidRDefault="003C11BD"/>
                  </w:txbxContent>
                </v:textbox>
              </v:shape>
            </w:pict>
          </mc:Fallback>
        </mc:AlternateContent>
      </w:r>
    </w:p>
    <w:p w14:paraId="54241FF0" w14:textId="77777777" w:rsidR="003C11BD" w:rsidRDefault="003C11BD" w:rsidP="003C11BD">
      <w:pPr>
        <w:rPr>
          <w:rFonts w:cstheme="minorHAnsi"/>
        </w:rPr>
      </w:pPr>
    </w:p>
    <w:p w14:paraId="169C2764" w14:textId="77777777" w:rsidR="003C11BD" w:rsidRDefault="003C11BD" w:rsidP="003C11BD">
      <w:pPr>
        <w:rPr>
          <w:rFonts w:cstheme="minorHAnsi"/>
        </w:rPr>
      </w:pPr>
    </w:p>
    <w:p w14:paraId="343D8FA1" w14:textId="77777777" w:rsidR="003C11BD" w:rsidRDefault="003C11BD" w:rsidP="003C11BD">
      <w:pPr>
        <w:rPr>
          <w:rFonts w:cstheme="minorHAnsi"/>
        </w:rPr>
      </w:pPr>
    </w:p>
    <w:p w14:paraId="661A5AF1" w14:textId="77777777" w:rsidR="00795876" w:rsidRDefault="00795876" w:rsidP="003C11BD"/>
    <w:p w14:paraId="7BC0767F" w14:textId="77777777" w:rsidR="00551A84" w:rsidRDefault="00551A84" w:rsidP="003C11BD"/>
    <w:p w14:paraId="41D3B0A8" w14:textId="78F8CC3F" w:rsidR="003C11BD" w:rsidRDefault="003C11BD" w:rsidP="003C11BD">
      <w:r>
        <w:t>Fort Wayne Metals Research Products, LLC (FWM) product, when shipped, meets or exceeds the following statements:</w:t>
      </w:r>
    </w:p>
    <w:p w14:paraId="712CFD50" w14:textId="77777777" w:rsidR="003C11BD" w:rsidRDefault="003C11BD" w:rsidP="003C11BD"/>
    <w:p w14:paraId="65FECF8F" w14:textId="77777777" w:rsidR="003C11BD" w:rsidRPr="00742E0A" w:rsidRDefault="003C11BD" w:rsidP="003C11BD">
      <w:pPr>
        <w:rPr>
          <w:b/>
          <w:bCs/>
        </w:rPr>
      </w:pPr>
      <w:r w:rsidRPr="00742E0A">
        <w:rPr>
          <w:b/>
          <w:bCs/>
        </w:rPr>
        <w:t>EU RoHS</w:t>
      </w:r>
      <w:r>
        <w:rPr>
          <w:b/>
          <w:bCs/>
        </w:rPr>
        <w:t xml:space="preserve">, </w:t>
      </w:r>
      <w:r w:rsidRPr="00742E0A">
        <w:rPr>
          <w:b/>
          <w:bCs/>
        </w:rPr>
        <w:t>RoHS</w:t>
      </w:r>
      <w:r>
        <w:rPr>
          <w:b/>
          <w:bCs/>
        </w:rPr>
        <w:t xml:space="preserve"> 2, </w:t>
      </w:r>
      <w:r w:rsidRPr="00742E0A">
        <w:rPr>
          <w:b/>
          <w:bCs/>
        </w:rPr>
        <w:t>RoHS 3 Compliance (E</w:t>
      </w:r>
      <w:r>
        <w:rPr>
          <w:b/>
          <w:bCs/>
        </w:rPr>
        <w:t>U</w:t>
      </w:r>
      <w:r w:rsidRPr="00742E0A">
        <w:rPr>
          <w:b/>
          <w:bCs/>
        </w:rPr>
        <w:t xml:space="preserve"> Directive 2015/863):</w:t>
      </w:r>
    </w:p>
    <w:p w14:paraId="7B6D978F" w14:textId="77777777" w:rsidR="003C11BD" w:rsidRDefault="003C11BD" w:rsidP="003C11BD">
      <w:r>
        <w:t>The products listed above do not contain intentionally added Substances above the RoHS, RoHS 2, RoHS 3 stated concentration limits.</w:t>
      </w:r>
    </w:p>
    <w:p w14:paraId="365C3765" w14:textId="77777777" w:rsidR="003C11BD" w:rsidRDefault="003C11BD" w:rsidP="003C11BD"/>
    <w:p w14:paraId="0AC5EDA5" w14:textId="77777777" w:rsidR="003C11BD" w:rsidRPr="00742E0A" w:rsidRDefault="003C11BD" w:rsidP="003C11BD">
      <w:pPr>
        <w:rPr>
          <w:b/>
          <w:bCs/>
        </w:rPr>
      </w:pPr>
      <w:r w:rsidRPr="00742E0A">
        <w:rPr>
          <w:b/>
          <w:bCs/>
        </w:rPr>
        <w:t>EU REACH Compliance (Regulation EC/1907/2006):</w:t>
      </w:r>
    </w:p>
    <w:p w14:paraId="663A7F26" w14:textId="4E395C03" w:rsidR="003C11BD" w:rsidRDefault="003C11BD" w:rsidP="003C11BD">
      <w:r>
        <w:t>The products listed above do not contain intentionally add</w:t>
      </w:r>
      <w:r w:rsidR="00795876">
        <w:t>ed</w:t>
      </w:r>
      <w:r>
        <w:t xml:space="preserve"> REACH </w:t>
      </w:r>
      <w:bookmarkStart w:id="0" w:name="_Hlk148602799"/>
      <w:r>
        <w:t>Substances of Very High Concern (SVHC)</w:t>
      </w:r>
      <w:r w:rsidR="00BB6D67">
        <w:t xml:space="preserve"> as listed in the </w:t>
      </w:r>
      <w:r w:rsidR="007E0177">
        <w:t>June 25, 2025</w:t>
      </w:r>
      <w:r w:rsidR="00BB6D67">
        <w:t>(</w:t>
      </w:r>
      <w:r w:rsidR="00D37863">
        <w:t xml:space="preserve"> 250</w:t>
      </w:r>
      <w:r w:rsidR="00BB6D67">
        <w:t xml:space="preserve"> SVHC)</w:t>
      </w:r>
      <w:r w:rsidR="007877BD">
        <w:t xml:space="preserve"> </w:t>
      </w:r>
      <w:r w:rsidR="00BB6D67">
        <w:t>list,</w:t>
      </w:r>
      <w:r>
        <w:t xml:space="preserve"> in concentrations above 0.1% weight by weight</w:t>
      </w:r>
      <w:r w:rsidR="00380408">
        <w:t>.</w:t>
      </w:r>
      <w:bookmarkEnd w:id="0"/>
    </w:p>
    <w:p w14:paraId="0C1E9E8D" w14:textId="77777777" w:rsidR="000F1243" w:rsidRDefault="000F1243" w:rsidP="003C11BD"/>
    <w:p w14:paraId="27A201FD" w14:textId="5FB17177" w:rsidR="00063F83" w:rsidRDefault="00063F83" w:rsidP="00063F83">
      <w:pPr>
        <w:rPr>
          <w:sz w:val="23"/>
          <w:szCs w:val="23"/>
        </w:rPr>
      </w:pPr>
      <w:r>
        <w:rPr>
          <w:sz w:val="23"/>
          <w:szCs w:val="23"/>
        </w:rPr>
        <w:t xml:space="preserve">REACH Annex XIV: The </w:t>
      </w:r>
      <w:r w:rsidR="003631BA">
        <w:rPr>
          <w:sz w:val="23"/>
          <w:szCs w:val="23"/>
        </w:rPr>
        <w:t>products listed above do not contain substances listed on the REACH Authorization List.</w:t>
      </w:r>
    </w:p>
    <w:p w14:paraId="68AF2FFD" w14:textId="77777777" w:rsidR="00063F83" w:rsidRDefault="00063F83" w:rsidP="003C11BD"/>
    <w:p w14:paraId="78B1A98F" w14:textId="742CBE8D" w:rsidR="000F1243" w:rsidRDefault="000F1243" w:rsidP="000F1243">
      <w:r>
        <w:t xml:space="preserve">The products listed above </w:t>
      </w:r>
      <w:r w:rsidR="00F66A91">
        <w:t>do not contain substances listed on the</w:t>
      </w:r>
      <w:r>
        <w:t xml:space="preserve"> REACH Restriction List (</w:t>
      </w:r>
      <w:r>
        <w:rPr>
          <w:kern w:val="0"/>
          <w:sz w:val="22"/>
          <w:szCs w:val="22"/>
          <w14:ligatures w14:val="none"/>
        </w:rPr>
        <w:t>Annex XVII).</w:t>
      </w:r>
    </w:p>
    <w:p w14:paraId="681A18C9" w14:textId="77777777" w:rsidR="00380408" w:rsidRDefault="00380408" w:rsidP="003C11BD"/>
    <w:p w14:paraId="672BF67D" w14:textId="77777777" w:rsidR="003C11BD" w:rsidRPr="00742E0A" w:rsidRDefault="003C11BD" w:rsidP="003C11BD">
      <w:pPr>
        <w:rPr>
          <w:b/>
          <w:bCs/>
        </w:rPr>
      </w:pPr>
      <w:r w:rsidRPr="00742E0A">
        <w:rPr>
          <w:b/>
          <w:bCs/>
        </w:rPr>
        <w:t>Latex:</w:t>
      </w:r>
    </w:p>
    <w:p w14:paraId="1C9C1006" w14:textId="77777777" w:rsidR="003C11BD" w:rsidRDefault="003C11BD" w:rsidP="003C11BD">
      <w:r>
        <w:t>FWM does not use or intentionally add natural rubber latex for the production of the above products.</w:t>
      </w:r>
    </w:p>
    <w:p w14:paraId="2A1F7E43" w14:textId="77777777" w:rsidR="003C11BD" w:rsidRDefault="003C11BD" w:rsidP="003C11BD"/>
    <w:p w14:paraId="153BA024" w14:textId="77777777" w:rsidR="003C11BD" w:rsidRPr="00742E0A" w:rsidRDefault="003C11BD" w:rsidP="003C11BD">
      <w:pPr>
        <w:rPr>
          <w:b/>
          <w:bCs/>
        </w:rPr>
      </w:pPr>
      <w:r w:rsidRPr="00742E0A">
        <w:rPr>
          <w:b/>
          <w:bCs/>
        </w:rPr>
        <w:t>Bisphenol A (BPA):</w:t>
      </w:r>
    </w:p>
    <w:p w14:paraId="2B7B49B7" w14:textId="77777777" w:rsidR="003C11BD" w:rsidRDefault="003C11BD" w:rsidP="003C11BD">
      <w:r>
        <w:t>FWM does not use or intentionally add BPA for the production of the above products.</w:t>
      </w:r>
    </w:p>
    <w:p w14:paraId="33C7B3A5" w14:textId="77777777" w:rsidR="003C11BD" w:rsidRDefault="003C11BD" w:rsidP="003C11BD"/>
    <w:p w14:paraId="0F438355" w14:textId="77777777" w:rsidR="003C11BD" w:rsidRPr="00742E0A" w:rsidRDefault="003C11BD" w:rsidP="003C11BD">
      <w:pPr>
        <w:rPr>
          <w:b/>
          <w:bCs/>
        </w:rPr>
      </w:pPr>
      <w:r w:rsidRPr="00742E0A">
        <w:rPr>
          <w:b/>
          <w:bCs/>
        </w:rPr>
        <w:t>Phthalates:</w:t>
      </w:r>
    </w:p>
    <w:p w14:paraId="2C1204CF" w14:textId="77777777" w:rsidR="003C11BD" w:rsidRDefault="003C11BD" w:rsidP="003C11BD">
      <w:r>
        <w:t>FWM does not use or intentionally add phthalates for the production of the above products.</w:t>
      </w:r>
    </w:p>
    <w:p w14:paraId="4A4F4421" w14:textId="77777777" w:rsidR="003C11BD" w:rsidRDefault="003C11BD" w:rsidP="003C11BD"/>
    <w:p w14:paraId="5B72DED2" w14:textId="77777777" w:rsidR="00063F83" w:rsidRDefault="00063F83" w:rsidP="003C11BD"/>
    <w:p w14:paraId="3D93F1AD" w14:textId="5A829735" w:rsidR="008375BA" w:rsidRDefault="008375BA" w:rsidP="008375BA">
      <w:pPr>
        <w:rPr>
          <w:b/>
          <w:bCs/>
        </w:rPr>
      </w:pPr>
      <w:r w:rsidRPr="009F3FD4">
        <w:rPr>
          <w:b/>
          <w:bCs/>
          <w:sz w:val="22"/>
          <w:szCs w:val="22"/>
        </w:rPr>
        <w:t xml:space="preserve">                                                                                                                            </w:t>
      </w:r>
      <w:r w:rsidRPr="009F3FD4">
        <w:rPr>
          <w:sz w:val="22"/>
          <w:szCs w:val="22"/>
        </w:rPr>
        <w:t xml:space="preserve">F-LE-82 Rev </w:t>
      </w:r>
      <w:r w:rsidR="00D37863">
        <w:rPr>
          <w:sz w:val="22"/>
          <w:szCs w:val="22"/>
        </w:rPr>
        <w:t xml:space="preserve">July </w:t>
      </w:r>
      <w:r w:rsidR="001A5B27">
        <w:rPr>
          <w:sz w:val="22"/>
          <w:szCs w:val="22"/>
        </w:rPr>
        <w:t>9</w:t>
      </w:r>
      <w:r w:rsidR="00D37863">
        <w:rPr>
          <w:sz w:val="22"/>
          <w:szCs w:val="22"/>
        </w:rPr>
        <w:t>, 2025</w:t>
      </w:r>
    </w:p>
    <w:p w14:paraId="1DCD97AE" w14:textId="77777777" w:rsidR="008375BA" w:rsidRDefault="008375BA" w:rsidP="003C11BD">
      <w:pPr>
        <w:rPr>
          <w:b/>
          <w:bCs/>
        </w:rPr>
      </w:pPr>
    </w:p>
    <w:p w14:paraId="5DF5720A" w14:textId="4DB7C356" w:rsidR="003C11BD" w:rsidRPr="00742E0A" w:rsidRDefault="003C11BD" w:rsidP="003C11BD">
      <w:pPr>
        <w:rPr>
          <w:b/>
          <w:bCs/>
        </w:rPr>
      </w:pPr>
      <w:r w:rsidRPr="00742E0A">
        <w:rPr>
          <w:b/>
          <w:bCs/>
        </w:rPr>
        <w:t>Nanomaterial:</w:t>
      </w:r>
    </w:p>
    <w:p w14:paraId="163289E0" w14:textId="77777777" w:rsidR="002E72AB" w:rsidRDefault="003C11BD" w:rsidP="003C11BD">
      <w:pPr>
        <w:rPr>
          <w:b/>
          <w:bCs/>
        </w:rPr>
      </w:pPr>
      <w:r>
        <w:t>FWM does not use or intentionally add nanomaterials as defined in Regulation (EU) 2017/745 for the production of the above products.</w:t>
      </w:r>
    </w:p>
    <w:p w14:paraId="3E4437DD" w14:textId="42857DA9" w:rsidR="00F32E1B" w:rsidRDefault="00F32E1B" w:rsidP="003C11BD">
      <w:pPr>
        <w:rPr>
          <w:b/>
          <w:bCs/>
        </w:rPr>
      </w:pPr>
      <w:r>
        <w:rPr>
          <w:b/>
          <w:bCs/>
        </w:rPr>
        <w:tab/>
      </w:r>
      <w:r>
        <w:rPr>
          <w:b/>
          <w:bCs/>
        </w:rPr>
        <w:tab/>
      </w:r>
      <w:r>
        <w:rPr>
          <w:b/>
          <w:bCs/>
        </w:rPr>
        <w:tab/>
      </w:r>
      <w:r>
        <w:rPr>
          <w:b/>
          <w:bCs/>
        </w:rPr>
        <w:tab/>
      </w:r>
      <w:r>
        <w:rPr>
          <w:b/>
          <w:bCs/>
        </w:rPr>
        <w:tab/>
      </w:r>
      <w:r>
        <w:rPr>
          <w:b/>
          <w:bCs/>
        </w:rPr>
        <w:tab/>
      </w:r>
      <w:r>
        <w:rPr>
          <w:b/>
          <w:bCs/>
        </w:rPr>
        <w:tab/>
      </w:r>
    </w:p>
    <w:p w14:paraId="1D152AE2" w14:textId="7CC3CE09" w:rsidR="003C11BD" w:rsidRPr="00742E0A" w:rsidRDefault="003C11BD" w:rsidP="003C11BD">
      <w:pPr>
        <w:rPr>
          <w:b/>
          <w:bCs/>
        </w:rPr>
      </w:pPr>
      <w:r w:rsidRPr="00742E0A">
        <w:rPr>
          <w:b/>
          <w:bCs/>
        </w:rPr>
        <w:t>EU MDR CMR  &amp; Endocrine Disrupting Substances:</w:t>
      </w:r>
    </w:p>
    <w:p w14:paraId="501AE57C" w14:textId="2F4F5EA5" w:rsidR="003C11BD" w:rsidRDefault="003C11BD" w:rsidP="003C11BD">
      <w:r>
        <w:t>The products listed above do not contain</w:t>
      </w:r>
      <w:r w:rsidR="000E375A">
        <w:t xml:space="preserve"> endocrine disrupting substances or</w:t>
      </w:r>
      <w:r>
        <w:t xml:space="preserve"> carcinogens, mutagens, or reproductive</w:t>
      </w:r>
      <w:r w:rsidR="000E375A">
        <w:t xml:space="preserve"> (CMR)</w:t>
      </w:r>
      <w:r>
        <w:t xml:space="preserve"> toxins category 1A or 1B as listed in Annex VI to CLP ATP</w:t>
      </w:r>
      <w:r w:rsidR="00BB6D67">
        <w:t>2</w:t>
      </w:r>
      <w:r w:rsidR="007877BD">
        <w:t>2</w:t>
      </w:r>
      <w:r>
        <w:t xml:space="preserve"> (Regulation (EU) </w:t>
      </w:r>
      <w:r w:rsidR="007877BD">
        <w:t>2024</w:t>
      </w:r>
      <w:r w:rsidR="00E43AA7">
        <w:t>/2564</w:t>
      </w:r>
      <w:r w:rsidR="003631BA">
        <w:t xml:space="preserve"> &amp; 2022/692</w:t>
      </w:r>
      <w:r>
        <w:t>) in concentrations above 0.1% weight by weight.</w:t>
      </w:r>
    </w:p>
    <w:p w14:paraId="32E2A788" w14:textId="77777777" w:rsidR="003C11BD" w:rsidRPr="00546F36" w:rsidRDefault="003C11BD" w:rsidP="003C11BD"/>
    <w:p w14:paraId="3C41CBF2" w14:textId="77777777" w:rsidR="003C11BD" w:rsidRPr="000454EB" w:rsidRDefault="003C11BD" w:rsidP="003C11BD">
      <w:r w:rsidRPr="00742E0A">
        <w:rPr>
          <w:b/>
          <w:bCs/>
        </w:rPr>
        <w:t>Polyvinyl Chloride (PVC):</w:t>
      </w:r>
    </w:p>
    <w:p w14:paraId="4339DDF4" w14:textId="77777777" w:rsidR="003C11BD" w:rsidRDefault="003C11BD" w:rsidP="003C11BD">
      <w:r>
        <w:t>FWM does not use or intentionally add polyvinyl chloride (PVC) for the production of the above products.</w:t>
      </w:r>
    </w:p>
    <w:p w14:paraId="1E04A7B8" w14:textId="77777777" w:rsidR="003C11BD" w:rsidRDefault="003C11BD" w:rsidP="003C11BD"/>
    <w:p w14:paraId="33A2FBA9" w14:textId="77777777" w:rsidR="003C11BD" w:rsidRPr="00742E0A" w:rsidRDefault="003C11BD" w:rsidP="003C11BD">
      <w:pPr>
        <w:rPr>
          <w:b/>
          <w:bCs/>
        </w:rPr>
      </w:pPr>
      <w:r w:rsidRPr="00742E0A">
        <w:rPr>
          <w:b/>
          <w:bCs/>
        </w:rPr>
        <w:t>EU Biocidal Products Regulation:</w:t>
      </w:r>
    </w:p>
    <w:p w14:paraId="0E9D569E" w14:textId="77777777" w:rsidR="003C11BD" w:rsidRDefault="003C11BD" w:rsidP="003C11BD">
      <w:r>
        <w:t>FWM does not use or intentionally add biocidal products identified in Regulation (EU) 528/2012 for the production of the above products.</w:t>
      </w:r>
    </w:p>
    <w:p w14:paraId="4510A52B" w14:textId="77777777" w:rsidR="003C11BD" w:rsidRDefault="003C11BD" w:rsidP="003C11BD"/>
    <w:p w14:paraId="2A9D3E2F" w14:textId="77777777" w:rsidR="003C11BD" w:rsidRPr="00742E0A" w:rsidRDefault="003C11BD" w:rsidP="003C11BD">
      <w:pPr>
        <w:rPr>
          <w:b/>
          <w:bCs/>
        </w:rPr>
      </w:pPr>
      <w:r w:rsidRPr="00742E0A">
        <w:rPr>
          <w:b/>
          <w:bCs/>
        </w:rPr>
        <w:t>Antimicrobial Agents:</w:t>
      </w:r>
    </w:p>
    <w:p w14:paraId="6D676990" w14:textId="77777777" w:rsidR="003C11BD" w:rsidRDefault="003C11BD" w:rsidP="003C11BD">
      <w:r>
        <w:t>While we have “cleaning processes”, they are not intended to be a final clean to any standard but rather an in-process step to remove excess processing agents. The biocompatibility of our products is not certified from our facility and must be evaluated through clinical studies conducted by the final device manufacturer.</w:t>
      </w:r>
    </w:p>
    <w:p w14:paraId="3349A702" w14:textId="77777777" w:rsidR="003C11BD" w:rsidRDefault="003C11BD" w:rsidP="003C11BD"/>
    <w:p w14:paraId="2B98CE92" w14:textId="77777777" w:rsidR="003C11BD" w:rsidRPr="00742E0A" w:rsidRDefault="003C11BD" w:rsidP="003C11BD">
      <w:pPr>
        <w:rPr>
          <w:b/>
          <w:bCs/>
        </w:rPr>
      </w:pPr>
      <w:r w:rsidRPr="00742E0A">
        <w:rPr>
          <w:b/>
          <w:bCs/>
        </w:rPr>
        <w:t>Human Derived Material:</w:t>
      </w:r>
    </w:p>
    <w:p w14:paraId="20397E86" w14:textId="77777777" w:rsidR="003C11BD" w:rsidRDefault="003C11BD" w:rsidP="003C11BD">
      <w:r>
        <w:t>FWM does not use or intentionally add Human Derived Material as defined in EU Directive 2004/23/EC for the production of the above products.</w:t>
      </w:r>
    </w:p>
    <w:p w14:paraId="58B79918" w14:textId="77777777" w:rsidR="003C11BD" w:rsidRDefault="003C11BD" w:rsidP="003C11BD"/>
    <w:p w14:paraId="16791353" w14:textId="77777777" w:rsidR="003C11BD" w:rsidRPr="00742E0A" w:rsidRDefault="003C11BD" w:rsidP="003C11BD">
      <w:pPr>
        <w:rPr>
          <w:b/>
          <w:bCs/>
        </w:rPr>
      </w:pPr>
      <w:r w:rsidRPr="00742E0A">
        <w:rPr>
          <w:b/>
          <w:bCs/>
        </w:rPr>
        <w:t>EU Persistent Organic Pollutants (POPs):</w:t>
      </w:r>
    </w:p>
    <w:p w14:paraId="3DE71651" w14:textId="3C4B8189" w:rsidR="003C11BD" w:rsidRDefault="003C11BD" w:rsidP="003C11BD">
      <w:r>
        <w:t xml:space="preserve">FWM does not use or intentionally add persistent organic pollutants (POPs) as defined in Regulation (EU) 2019/1021 </w:t>
      </w:r>
      <w:r w:rsidR="00BB6D67">
        <w:t xml:space="preserve">and Regulation (EU) 2022/2400 </w:t>
      </w:r>
      <w:r>
        <w:t>for the production of the above products.</w:t>
      </w:r>
    </w:p>
    <w:p w14:paraId="654FFFFC" w14:textId="77777777" w:rsidR="003C11BD" w:rsidRDefault="003C11BD" w:rsidP="003C11BD"/>
    <w:p w14:paraId="491C493A" w14:textId="77777777" w:rsidR="003C11BD" w:rsidRDefault="003C11BD" w:rsidP="003C11BD">
      <w:r>
        <w:t xml:space="preserve">The information in this statement is based on information provided by our suppliers and from random sample testing by outside accredited laboratories. </w:t>
      </w:r>
    </w:p>
    <w:p w14:paraId="5D321860" w14:textId="77777777" w:rsidR="003C11BD" w:rsidRDefault="003C11BD" w:rsidP="003C11BD"/>
    <w:p w14:paraId="65DE00B3" w14:textId="77777777" w:rsidR="003C11BD" w:rsidRDefault="003C11BD" w:rsidP="003C11BD">
      <w:r>
        <w:t>Fort Wayne Metals Research Products, LLC</w:t>
      </w:r>
    </w:p>
    <w:p w14:paraId="02FDF73E" w14:textId="46F43263" w:rsidR="00D945E9" w:rsidRPr="00D945E9" w:rsidRDefault="003C11BD" w:rsidP="00610316">
      <w:r>
        <w:t>Product Regulatory Team</w:t>
      </w:r>
    </w:p>
    <w:sectPr w:rsidR="00D945E9" w:rsidRPr="00D945E9" w:rsidSect="00B86955">
      <w:footerReference w:type="default" r:id="rId6"/>
      <w:headerReference w:type="first" r:id="rId7"/>
      <w:footerReference w:type="first" r:id="rId8"/>
      <w:pgSz w:w="12240" w:h="15840"/>
      <w:pgMar w:top="720" w:right="1440" w:bottom="288"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24FFD" w14:textId="77777777" w:rsidR="005B52F8" w:rsidRDefault="005B52F8" w:rsidP="006B2A63">
      <w:r>
        <w:separator/>
      </w:r>
    </w:p>
  </w:endnote>
  <w:endnote w:type="continuationSeparator" w:id="0">
    <w:p w14:paraId="47791845" w14:textId="77777777" w:rsidR="005B52F8" w:rsidRDefault="005B52F8" w:rsidP="006B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0594" w14:textId="77777777" w:rsidR="00DC74D8" w:rsidRDefault="00DC74D8" w:rsidP="00DC74D8">
    <w:pPr>
      <w:pStyle w:val="Footer"/>
      <w:jc w:val="both"/>
    </w:pPr>
    <w:r>
      <w:tab/>
    </w:r>
  </w:p>
  <w:sdt>
    <w:sdtPr>
      <w:id w:val="2087175806"/>
      <w:docPartObj>
        <w:docPartGallery w:val="Page Numbers (Bottom of Page)"/>
        <w:docPartUnique/>
      </w:docPartObj>
    </w:sdtPr>
    <w:sdtContent>
      <w:sdt>
        <w:sdtPr>
          <w:id w:val="1141779410"/>
          <w:docPartObj>
            <w:docPartGallery w:val="Page Numbers (Top of Page)"/>
            <w:docPartUnique/>
          </w:docPartObj>
        </w:sdtPr>
        <w:sdtContent>
          <w:p w14:paraId="35290F7C" w14:textId="64F9E250" w:rsidR="00DC74D8" w:rsidRPr="00DC74D8" w:rsidRDefault="00DC74D8" w:rsidP="00DC74D8">
            <w:pPr>
              <w:pStyle w:val="Footer"/>
              <w:jc w:val="both"/>
            </w:pPr>
            <w:r w:rsidRPr="00CF501F">
              <w:rPr>
                <w:sz w:val="16"/>
                <w:szCs w:val="16"/>
              </w:rPr>
              <w:t>The information contained herein is for reference only and, to FWM’s knowledge, accurate as of the date of publication. As a custom manufacturer, we require our customers specify their preferred products. As such, it is the customer’s responsibility to inspect and test our products in order satisfy itself as to the suitability of the products for the customer’s particular purpose and suitability to the actual circumstances the product is exposed to. Likewise, you (the customer) are also responsible for the appropriate, safe, and legal use, processing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0343C5DE" w14:textId="77777777" w:rsidR="00DC74D8" w:rsidRDefault="00DC74D8" w:rsidP="00DC74D8">
            <w:pPr>
              <w:pStyle w:val="Footer"/>
              <w:jc w:val="both"/>
              <w:rPr>
                <w:sz w:val="16"/>
                <w:szCs w:val="16"/>
              </w:rPr>
            </w:pPr>
          </w:p>
          <w:p w14:paraId="5A0A8381" w14:textId="77777777" w:rsidR="00DC74D8" w:rsidRDefault="00DC74D8" w:rsidP="00DC74D8">
            <w:pPr>
              <w:pStyle w:val="Footer"/>
              <w:jc w:val="both"/>
              <w:rPr>
                <w:sz w:val="16"/>
                <w:szCs w:val="16"/>
              </w:rPr>
            </w:pPr>
          </w:p>
          <w:p w14:paraId="6063CBFF"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03AA195A" w14:textId="6F95E833" w:rsidR="00DC74D8" w:rsidRDefault="00DC74D8" w:rsidP="00DC74D8">
    <w:pPr>
      <w:pStyle w:val="Footer"/>
      <w:tabs>
        <w:tab w:val="left" w:pos="855"/>
      </w:tabs>
    </w:pPr>
    <w:r>
      <w:tab/>
    </w:r>
  </w:p>
  <w:p w14:paraId="36D7EA8D" w14:textId="2F9B5462" w:rsidR="00DC74D8" w:rsidRDefault="00DC74D8" w:rsidP="00DC74D8">
    <w:pPr>
      <w:pStyle w:val="Footer"/>
      <w:tabs>
        <w:tab w:val="clear" w:pos="4680"/>
        <w:tab w:val="clear" w:pos="9360"/>
        <w:tab w:val="left" w:pos="22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010360"/>
      <w:docPartObj>
        <w:docPartGallery w:val="Page Numbers (Bottom of Page)"/>
        <w:docPartUnique/>
      </w:docPartObj>
    </w:sdtPr>
    <w:sdtContent>
      <w:sdt>
        <w:sdtPr>
          <w:id w:val="1728636285"/>
          <w:docPartObj>
            <w:docPartGallery w:val="Page Numbers (Top of Page)"/>
            <w:docPartUnique/>
          </w:docPartObj>
        </w:sdtPr>
        <w:sdtContent>
          <w:p w14:paraId="7EE5C970" w14:textId="70DD7D95" w:rsidR="00DC74D8" w:rsidRPr="00DC74D8" w:rsidRDefault="00DC74D8" w:rsidP="00DC74D8">
            <w:pPr>
              <w:pStyle w:val="Footer"/>
              <w:jc w:val="both"/>
            </w:pPr>
            <w:r w:rsidRPr="00CF501F">
              <w:rPr>
                <w:sz w:val="16"/>
                <w:szCs w:val="16"/>
              </w:rPr>
              <w:t>The information contained herein is for reference only and, to FWM’s knowledge, accurate as of the date of publication. As a custom manufacturer, we require our customers specify their preferred products. As such, it is the customer’s responsibility to inspect and test our products in order satisfy itself as to the suitability of the products for the customer’s particular purpose and suitability to the actual circumstances the product is exposed to. Likewise, you (the customer) are also responsible for the appropriate, safe, and legal use, processing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166E9B6C" w14:textId="77777777" w:rsidR="00DC74D8" w:rsidRDefault="00DC74D8" w:rsidP="00DC74D8">
            <w:pPr>
              <w:pStyle w:val="Footer"/>
              <w:jc w:val="both"/>
              <w:rPr>
                <w:sz w:val="16"/>
                <w:szCs w:val="16"/>
              </w:rPr>
            </w:pPr>
          </w:p>
          <w:p w14:paraId="30BF86CD" w14:textId="77777777" w:rsidR="00DC74D8" w:rsidRDefault="00DC74D8" w:rsidP="00DC74D8">
            <w:pPr>
              <w:pStyle w:val="Footer"/>
              <w:jc w:val="both"/>
              <w:rPr>
                <w:sz w:val="16"/>
                <w:szCs w:val="16"/>
              </w:rPr>
            </w:pPr>
          </w:p>
          <w:p w14:paraId="506DCF03"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1FAB93B6" w14:textId="77777777" w:rsidR="00DC74D8" w:rsidRDefault="00DC74D8" w:rsidP="00DC74D8">
    <w:pPr>
      <w:pStyle w:val="Footer"/>
    </w:pPr>
  </w:p>
  <w:p w14:paraId="0BCD44B3" w14:textId="77777777" w:rsidR="00DC74D8" w:rsidRDefault="00DC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4D2D7" w14:textId="77777777" w:rsidR="005B52F8" w:rsidRDefault="005B52F8" w:rsidP="006B2A63">
      <w:r>
        <w:separator/>
      </w:r>
    </w:p>
  </w:footnote>
  <w:footnote w:type="continuationSeparator" w:id="0">
    <w:p w14:paraId="2BDB7DAD" w14:textId="77777777" w:rsidR="005B52F8" w:rsidRDefault="005B52F8" w:rsidP="006B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5388" w14:textId="0E2B0DEB" w:rsidR="005B56ED" w:rsidRDefault="00DC74D8" w:rsidP="006B2A63">
    <w:pPr>
      <w:pStyle w:val="Header"/>
      <w:jc w:val="center"/>
    </w:pPr>
    <w:r>
      <w:rPr>
        <w:noProof/>
      </w:rPr>
      <w:drawing>
        <wp:anchor distT="0" distB="0" distL="114300" distR="114300" simplePos="0" relativeHeight="251659264" behindDoc="1" locked="0" layoutInCell="1" allowOverlap="1" wp14:anchorId="24C1AA71" wp14:editId="709AE9D4">
          <wp:simplePos x="0" y="0"/>
          <wp:positionH relativeFrom="page">
            <wp:align>left</wp:align>
          </wp:positionH>
          <wp:positionV relativeFrom="paragraph">
            <wp:posOffset>-752475</wp:posOffset>
          </wp:positionV>
          <wp:extent cx="7588313" cy="1823746"/>
          <wp:effectExtent l="0" t="0" r="0" b="5080"/>
          <wp:wrapNone/>
          <wp:docPr id="1857605806" name="Picture 1857605806"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95881" name="Picture 2"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8313" cy="18237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63"/>
    <w:rsid w:val="00023F2B"/>
    <w:rsid w:val="00051394"/>
    <w:rsid w:val="000547DF"/>
    <w:rsid w:val="00063F83"/>
    <w:rsid w:val="000B7A00"/>
    <w:rsid w:val="000C55D6"/>
    <w:rsid w:val="000E375A"/>
    <w:rsid w:val="000F1243"/>
    <w:rsid w:val="00102C82"/>
    <w:rsid w:val="00143391"/>
    <w:rsid w:val="001A5B27"/>
    <w:rsid w:val="001F3C56"/>
    <w:rsid w:val="0028349F"/>
    <w:rsid w:val="002E72AB"/>
    <w:rsid w:val="00326E5D"/>
    <w:rsid w:val="003631BA"/>
    <w:rsid w:val="0036418D"/>
    <w:rsid w:val="00380408"/>
    <w:rsid w:val="00382E32"/>
    <w:rsid w:val="003C11BD"/>
    <w:rsid w:val="004006AF"/>
    <w:rsid w:val="00407117"/>
    <w:rsid w:val="004601D6"/>
    <w:rsid w:val="00480FAC"/>
    <w:rsid w:val="00483860"/>
    <w:rsid w:val="00487D23"/>
    <w:rsid w:val="004E378A"/>
    <w:rsid w:val="004E3874"/>
    <w:rsid w:val="00551A84"/>
    <w:rsid w:val="00555A05"/>
    <w:rsid w:val="00573026"/>
    <w:rsid w:val="005805B8"/>
    <w:rsid w:val="005A19BE"/>
    <w:rsid w:val="005B52F8"/>
    <w:rsid w:val="005B56ED"/>
    <w:rsid w:val="005C78C9"/>
    <w:rsid w:val="005D79B9"/>
    <w:rsid w:val="00610316"/>
    <w:rsid w:val="00617C9E"/>
    <w:rsid w:val="00617FF6"/>
    <w:rsid w:val="00620627"/>
    <w:rsid w:val="0063256E"/>
    <w:rsid w:val="00635DB3"/>
    <w:rsid w:val="00663D9E"/>
    <w:rsid w:val="006B2A63"/>
    <w:rsid w:val="006B5D49"/>
    <w:rsid w:val="006C31C8"/>
    <w:rsid w:val="006F1411"/>
    <w:rsid w:val="00736F6E"/>
    <w:rsid w:val="00750E53"/>
    <w:rsid w:val="007877BD"/>
    <w:rsid w:val="00795876"/>
    <w:rsid w:val="007A7871"/>
    <w:rsid w:val="007E0177"/>
    <w:rsid w:val="0080462F"/>
    <w:rsid w:val="00805A5C"/>
    <w:rsid w:val="008245C7"/>
    <w:rsid w:val="008375BA"/>
    <w:rsid w:val="00897B37"/>
    <w:rsid w:val="008A5E63"/>
    <w:rsid w:val="008B2DE0"/>
    <w:rsid w:val="008C4EC6"/>
    <w:rsid w:val="008E0AE2"/>
    <w:rsid w:val="008F12F0"/>
    <w:rsid w:val="00937215"/>
    <w:rsid w:val="009458EE"/>
    <w:rsid w:val="009467A8"/>
    <w:rsid w:val="00972A73"/>
    <w:rsid w:val="00992324"/>
    <w:rsid w:val="009C3581"/>
    <w:rsid w:val="009E0A85"/>
    <w:rsid w:val="009F3FD4"/>
    <w:rsid w:val="00A41702"/>
    <w:rsid w:val="00A52AB5"/>
    <w:rsid w:val="00A82C9B"/>
    <w:rsid w:val="00B50C81"/>
    <w:rsid w:val="00B56CF5"/>
    <w:rsid w:val="00B800F1"/>
    <w:rsid w:val="00B86955"/>
    <w:rsid w:val="00BB6D67"/>
    <w:rsid w:val="00BC3EB9"/>
    <w:rsid w:val="00C101E9"/>
    <w:rsid w:val="00C155A6"/>
    <w:rsid w:val="00C45A75"/>
    <w:rsid w:val="00C679D5"/>
    <w:rsid w:val="00C83734"/>
    <w:rsid w:val="00C912FB"/>
    <w:rsid w:val="00C92718"/>
    <w:rsid w:val="00CD30CC"/>
    <w:rsid w:val="00CE3DB7"/>
    <w:rsid w:val="00CE5CD1"/>
    <w:rsid w:val="00D33A46"/>
    <w:rsid w:val="00D37863"/>
    <w:rsid w:val="00D40021"/>
    <w:rsid w:val="00D44D1F"/>
    <w:rsid w:val="00D549CD"/>
    <w:rsid w:val="00D555A9"/>
    <w:rsid w:val="00D55B0D"/>
    <w:rsid w:val="00D752D4"/>
    <w:rsid w:val="00D945E9"/>
    <w:rsid w:val="00DC5664"/>
    <w:rsid w:val="00DC74D8"/>
    <w:rsid w:val="00E43AA7"/>
    <w:rsid w:val="00E51B21"/>
    <w:rsid w:val="00E55502"/>
    <w:rsid w:val="00E61291"/>
    <w:rsid w:val="00E87EAD"/>
    <w:rsid w:val="00E91EB6"/>
    <w:rsid w:val="00EC03A2"/>
    <w:rsid w:val="00EE512A"/>
    <w:rsid w:val="00EF4E2A"/>
    <w:rsid w:val="00F32E1B"/>
    <w:rsid w:val="00F403B9"/>
    <w:rsid w:val="00F57622"/>
    <w:rsid w:val="00F66A91"/>
    <w:rsid w:val="00F8587B"/>
    <w:rsid w:val="00FA43F6"/>
    <w:rsid w:val="00FB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AC3E"/>
  <w15:chartTrackingRefBased/>
  <w15:docId w15:val="{21246E69-D16D-4447-B466-E5FDE99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6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A63"/>
    <w:pPr>
      <w:tabs>
        <w:tab w:val="center" w:pos="4680"/>
        <w:tab w:val="right" w:pos="9360"/>
      </w:tabs>
    </w:pPr>
  </w:style>
  <w:style w:type="character" w:customStyle="1" w:styleId="HeaderChar">
    <w:name w:val="Header Char"/>
    <w:basedOn w:val="DefaultParagraphFont"/>
    <w:link w:val="Header"/>
    <w:uiPriority w:val="99"/>
    <w:rsid w:val="006B2A63"/>
  </w:style>
  <w:style w:type="paragraph" w:styleId="Footer">
    <w:name w:val="footer"/>
    <w:basedOn w:val="Normal"/>
    <w:link w:val="FooterChar"/>
    <w:uiPriority w:val="99"/>
    <w:unhideWhenUsed/>
    <w:rsid w:val="006B2A63"/>
    <w:pPr>
      <w:tabs>
        <w:tab w:val="center" w:pos="4680"/>
        <w:tab w:val="right" w:pos="9360"/>
      </w:tabs>
    </w:pPr>
  </w:style>
  <w:style w:type="character" w:customStyle="1" w:styleId="FooterChar">
    <w:name w:val="Footer Char"/>
    <w:basedOn w:val="DefaultParagraphFont"/>
    <w:link w:val="Footer"/>
    <w:uiPriority w:val="99"/>
    <w:rsid w:val="006B2A63"/>
  </w:style>
  <w:style w:type="table" w:styleId="TableGrid">
    <w:name w:val="Table Grid"/>
    <w:basedOn w:val="TableNormal"/>
    <w:uiPriority w:val="59"/>
    <w:rsid w:val="006B2A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7B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Bolinger</dc:creator>
  <cp:keywords/>
  <dc:description/>
  <cp:lastModifiedBy>Dori Radford</cp:lastModifiedBy>
  <cp:revision>29</cp:revision>
  <cp:lastPrinted>2024-12-05T13:54:00Z</cp:lastPrinted>
  <dcterms:created xsi:type="dcterms:W3CDTF">2024-11-18T19:00:00Z</dcterms:created>
  <dcterms:modified xsi:type="dcterms:W3CDTF">2025-07-09T11:14:00Z</dcterms:modified>
</cp:coreProperties>
</file>